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A206" w14:textId="77777777" w:rsidR="00EF4767" w:rsidRPr="00EF4767" w:rsidRDefault="00EF4767" w:rsidP="00EF4767">
      <w:pPr>
        <w:rPr>
          <w:b/>
          <w:bCs/>
        </w:rPr>
      </w:pPr>
      <w:proofErr w:type="gramStart"/>
      <w:r w:rsidRPr="00EF4767">
        <w:rPr>
          <w:b/>
          <w:bCs/>
        </w:rPr>
        <w:t>So</w:t>
      </w:r>
      <w:proofErr w:type="gramEnd"/>
      <w:r w:rsidRPr="00EF4767">
        <w:rPr>
          <w:b/>
          <w:bCs/>
        </w:rPr>
        <w:t xml:space="preserve"> you just got funded by the CFAR...</w:t>
      </w:r>
    </w:p>
    <w:p w14:paraId="4E5C92C0" w14:textId="77777777" w:rsidR="00EF4767" w:rsidRPr="00EF4767" w:rsidRDefault="00EF4767" w:rsidP="00EF4767">
      <w:pPr>
        <w:rPr>
          <w:b/>
          <w:bCs/>
        </w:rPr>
      </w:pPr>
      <w:r w:rsidRPr="00EF4767">
        <w:rPr>
          <w:b/>
          <w:bCs/>
        </w:rPr>
        <w:t>Guidance for CFAR Awardees (Anyone receiving funding from the CFAR to conduct a study):</w:t>
      </w:r>
    </w:p>
    <w:p w14:paraId="5076B008" w14:textId="67964D19" w:rsidR="00EF4767" w:rsidRPr="00EF4767" w:rsidRDefault="00EF4767" w:rsidP="000B3982">
      <w:pPr>
        <w:numPr>
          <w:ilvl w:val="0"/>
          <w:numId w:val="1"/>
        </w:numPr>
        <w:tabs>
          <w:tab w:val="clear" w:pos="720"/>
          <w:tab w:val="num" w:pos="450"/>
        </w:tabs>
        <w:ind w:left="450" w:hanging="450"/>
      </w:pPr>
      <w:r w:rsidRPr="00EF4767">
        <w:t xml:space="preserve">A </w:t>
      </w:r>
      <w:r w:rsidRPr="00FE43E9">
        <w:rPr>
          <w:b/>
          <w:bCs/>
        </w:rPr>
        <w:t>Certificate of Confidentiality</w:t>
      </w:r>
      <w:r w:rsidRPr="00EF4767">
        <w:t xml:space="preserve"> is issued automatically to awards funded wholly or in part by the NIH that collect or use identifiable, sensitive information.  This includes CFAR Scholar awards and supplements.  This eliminates the need for NIH-funded investigators to apply for a certificate of confidentiality.</w:t>
      </w:r>
    </w:p>
    <w:p w14:paraId="744C0C67" w14:textId="77777777" w:rsidR="00EF4767" w:rsidRPr="00EF4767" w:rsidRDefault="00EF4767" w:rsidP="000B3982">
      <w:pPr>
        <w:numPr>
          <w:ilvl w:val="0"/>
          <w:numId w:val="1"/>
        </w:numPr>
        <w:tabs>
          <w:tab w:val="clear" w:pos="720"/>
        </w:tabs>
        <w:spacing w:after="0"/>
        <w:ind w:left="360"/>
      </w:pPr>
      <w:r w:rsidRPr="00EF4767">
        <w:t xml:space="preserve">Studies that require </w:t>
      </w:r>
      <w:r w:rsidRPr="00EF4767">
        <w:rPr>
          <w:b/>
          <w:bCs/>
        </w:rPr>
        <w:t>NIH CLINICAL</w:t>
      </w:r>
      <w:r w:rsidRPr="00EF4767">
        <w:t xml:space="preserve"> review:</w:t>
      </w:r>
    </w:p>
    <w:p w14:paraId="2484C208" w14:textId="77777777" w:rsidR="00EF4767" w:rsidRPr="00EF4767" w:rsidRDefault="00EF4767" w:rsidP="00EF4767">
      <w:pPr>
        <w:pStyle w:val="ListParagraph"/>
        <w:numPr>
          <w:ilvl w:val="0"/>
          <w:numId w:val="7"/>
        </w:numPr>
      </w:pPr>
      <w:r w:rsidRPr="00EF4767">
        <w:t>Studies involving licensed drugs, treatments, or devices (allowed on a case-by-case basis)</w:t>
      </w:r>
    </w:p>
    <w:p w14:paraId="14147511" w14:textId="77777777" w:rsidR="00EF4767" w:rsidRPr="00EF4767" w:rsidRDefault="00EF4767" w:rsidP="00EF4767">
      <w:pPr>
        <w:pStyle w:val="ListParagraph"/>
        <w:numPr>
          <w:ilvl w:val="0"/>
          <w:numId w:val="7"/>
        </w:numPr>
      </w:pPr>
      <w:r w:rsidRPr="00EF4767">
        <w:t>Studies that are deemed above minimal risk by the Institutional IRB</w:t>
      </w:r>
    </w:p>
    <w:p w14:paraId="6FDBBD94" w14:textId="77777777" w:rsidR="00EF4767" w:rsidRPr="00EF4767" w:rsidRDefault="00EF4767" w:rsidP="00EF4767">
      <w:pPr>
        <w:pStyle w:val="ListParagraph"/>
        <w:numPr>
          <w:ilvl w:val="0"/>
          <w:numId w:val="7"/>
        </w:numPr>
      </w:pPr>
      <w:r w:rsidRPr="00EF4767">
        <w:t>Studies involving vulnerable populations:</w:t>
      </w:r>
    </w:p>
    <w:p w14:paraId="5C04BDA4" w14:textId="77777777" w:rsidR="00EF4767" w:rsidRPr="00EF4767" w:rsidRDefault="00EF4767" w:rsidP="00EF4767">
      <w:pPr>
        <w:pStyle w:val="ListParagraph"/>
        <w:numPr>
          <w:ilvl w:val="1"/>
          <w:numId w:val="7"/>
        </w:numPr>
      </w:pPr>
      <w:r w:rsidRPr="00EF4767">
        <w:t>Pregnant women, neonates, fetuses</w:t>
      </w:r>
    </w:p>
    <w:p w14:paraId="3CEC258E" w14:textId="77777777" w:rsidR="00EF4767" w:rsidRPr="00EF4767" w:rsidRDefault="00EF4767" w:rsidP="00EF4767">
      <w:pPr>
        <w:pStyle w:val="ListParagraph"/>
        <w:numPr>
          <w:ilvl w:val="1"/>
          <w:numId w:val="7"/>
        </w:numPr>
      </w:pPr>
      <w:r w:rsidRPr="00EF4767">
        <w:t>Prisoners</w:t>
      </w:r>
    </w:p>
    <w:p w14:paraId="4A697E6B" w14:textId="77777777" w:rsidR="00EF4767" w:rsidRPr="00EF4767" w:rsidRDefault="00EF4767" w:rsidP="00EF4767">
      <w:pPr>
        <w:pStyle w:val="ListParagraph"/>
        <w:numPr>
          <w:ilvl w:val="1"/>
          <w:numId w:val="7"/>
        </w:numPr>
      </w:pPr>
      <w:r w:rsidRPr="00EF4767">
        <w:t>Children (&lt; 18 years of age)</w:t>
      </w:r>
    </w:p>
    <w:p w14:paraId="4C23B3CD" w14:textId="77777777" w:rsidR="00EF4767" w:rsidRPr="00EF4767" w:rsidRDefault="00EF4767" w:rsidP="00EF4767">
      <w:pPr>
        <w:pStyle w:val="ListParagraph"/>
        <w:numPr>
          <w:ilvl w:val="1"/>
          <w:numId w:val="7"/>
        </w:numPr>
      </w:pPr>
      <w:r w:rsidRPr="00EF4767">
        <w:t>Refugees</w:t>
      </w:r>
    </w:p>
    <w:p w14:paraId="10B58CA7" w14:textId="77777777" w:rsidR="00EF4767" w:rsidRPr="00EF4767" w:rsidRDefault="00EF4767" w:rsidP="00EF4767">
      <w:pPr>
        <w:pStyle w:val="ListParagraph"/>
        <w:numPr>
          <w:ilvl w:val="1"/>
          <w:numId w:val="7"/>
        </w:numPr>
      </w:pPr>
      <w:r w:rsidRPr="00EF4767">
        <w:t>Sex workers</w:t>
      </w:r>
    </w:p>
    <w:p w14:paraId="1FE19998" w14:textId="4143CD2F" w:rsidR="00EF4767" w:rsidRPr="00EF4767" w:rsidRDefault="00EF4767" w:rsidP="00EF4767">
      <w:pPr>
        <w:pStyle w:val="ListParagraph"/>
        <w:numPr>
          <w:ilvl w:val="0"/>
          <w:numId w:val="7"/>
        </w:numPr>
      </w:pPr>
      <w:r w:rsidRPr="00EF4767">
        <w:t>Studies involving behavioral interventions above minimal risk</w:t>
      </w:r>
    </w:p>
    <w:p w14:paraId="2CCE152A" w14:textId="19352737" w:rsidR="00EF4767" w:rsidRPr="00EF4767" w:rsidRDefault="00EF4767" w:rsidP="000B3982">
      <w:pPr>
        <w:ind w:left="360"/>
      </w:pPr>
      <w:r w:rsidRPr="00EF4767">
        <w:t>For studies falling in the above research areas, please send completed CFAR Clinical Checklist</w:t>
      </w:r>
      <w:r w:rsidR="00FE43E9">
        <w:t xml:space="preserve"> to </w:t>
      </w:r>
      <w:hyperlink r:id="rId8" w:history="1">
        <w:r w:rsidR="00FE43E9" w:rsidRPr="00CE3FED">
          <w:rPr>
            <w:rStyle w:val="Hyperlink"/>
          </w:rPr>
          <w:t>aefron@jhmi.edu</w:t>
        </w:r>
      </w:hyperlink>
      <w:r w:rsidR="00FE43E9">
        <w:t xml:space="preserve"> </w:t>
      </w:r>
    </w:p>
    <w:p w14:paraId="568E6E85" w14:textId="19D84786" w:rsidR="00EF4767" w:rsidRDefault="00EF4767" w:rsidP="000B3982">
      <w:pPr>
        <w:spacing w:after="0"/>
        <w:ind w:left="360"/>
        <w:rPr>
          <w:b/>
          <w:bCs/>
        </w:rPr>
      </w:pPr>
      <w:r w:rsidRPr="00EF4767">
        <w:rPr>
          <w:b/>
          <w:bCs/>
        </w:rPr>
        <w:t>Guidance for Completing the Checklist</w:t>
      </w:r>
      <w:r w:rsidRPr="00D76989">
        <w:rPr>
          <w:b/>
          <w:bCs/>
        </w:rPr>
        <w:t>:</w:t>
      </w:r>
    </w:p>
    <w:p w14:paraId="68853C0B" w14:textId="278CA475" w:rsidR="00740405" w:rsidRPr="00740405" w:rsidRDefault="009315B2" w:rsidP="000B3982">
      <w:pPr>
        <w:spacing w:after="0"/>
        <w:ind w:left="360"/>
      </w:pPr>
      <w:r>
        <w:t>**</w:t>
      </w:r>
      <w:r w:rsidR="00740405" w:rsidRPr="00740405">
        <w:t xml:space="preserve">Following these guidelines will allow for </w:t>
      </w:r>
      <w:r w:rsidR="00740405">
        <w:t>faster completion of the review</w:t>
      </w:r>
      <w:r>
        <w:t>**</w:t>
      </w:r>
    </w:p>
    <w:p w14:paraId="3132CF9D" w14:textId="77777777" w:rsidR="00EF4767" w:rsidRPr="00EF4767" w:rsidRDefault="00EF4767" w:rsidP="000B3982">
      <w:pPr>
        <w:pStyle w:val="ListParagraph"/>
        <w:numPr>
          <w:ilvl w:val="0"/>
          <w:numId w:val="9"/>
        </w:numPr>
      </w:pPr>
      <w:r w:rsidRPr="00EF4767">
        <w:t>Human Subjects Research Training Certificates must be provided for all study personnel and those using unblinded data (Question 6)</w:t>
      </w:r>
    </w:p>
    <w:p w14:paraId="05539813" w14:textId="77777777" w:rsidR="00EF4767" w:rsidRPr="00EF4767" w:rsidRDefault="00EF4767" w:rsidP="000B3982">
      <w:pPr>
        <w:pStyle w:val="ListParagraph"/>
        <w:numPr>
          <w:ilvl w:val="0"/>
          <w:numId w:val="9"/>
        </w:numPr>
      </w:pPr>
      <w:r w:rsidRPr="00EF4767">
        <w:t>The DSMP/DSMB isn’t required unless requested by the clinical studies review committee, so you may leave this blank (Question 11)</w:t>
      </w:r>
    </w:p>
    <w:p w14:paraId="56A7AA67" w14:textId="66CC48C4" w:rsidR="00EF4767" w:rsidRPr="00EF4767" w:rsidRDefault="00EF4767" w:rsidP="000B3982">
      <w:pPr>
        <w:pStyle w:val="ListParagraph"/>
        <w:numPr>
          <w:ilvl w:val="0"/>
          <w:numId w:val="9"/>
        </w:numPr>
      </w:pPr>
      <w:r w:rsidRPr="000B3982">
        <w:rPr>
          <w:b/>
          <w:bCs/>
        </w:rPr>
        <w:t>Protocols and informed consents/assents</w:t>
      </w:r>
      <w:r w:rsidRPr="00EF4767">
        <w:t xml:space="preserve"> </w:t>
      </w:r>
      <w:r w:rsidR="00132338">
        <w:t xml:space="preserve">(Question 9 and 10) </w:t>
      </w:r>
      <w:r w:rsidRPr="00EF4767">
        <w:t xml:space="preserve">should be reviewed for quality and content prior to NIH review.  Submitting the checklists and relevant documents at the time of IRB submission seems to work well.  The NIH traditionally will come back with questions and changes that they would like </w:t>
      </w:r>
      <w:proofErr w:type="gramStart"/>
      <w:r w:rsidRPr="00EF4767">
        <w:t>made</w:t>
      </w:r>
      <w:proofErr w:type="gramEnd"/>
      <w:r w:rsidRPr="00EF4767">
        <w:t xml:space="preserve">, so these can then be incorporated at the same time as making the IRB changes.  </w:t>
      </w:r>
    </w:p>
    <w:p w14:paraId="7941251B" w14:textId="67B8E2C8" w:rsidR="00EF4767" w:rsidRDefault="00EF4767" w:rsidP="008B335F">
      <w:pPr>
        <w:pStyle w:val="ListParagraph"/>
        <w:numPr>
          <w:ilvl w:val="0"/>
          <w:numId w:val="11"/>
        </w:numPr>
        <w:spacing w:after="0"/>
      </w:pPr>
      <w:r w:rsidRPr="00BA69C8">
        <w:rPr>
          <w:b/>
          <w:bCs/>
        </w:rPr>
        <w:t xml:space="preserve">You must submit a proper clinical </w:t>
      </w:r>
      <w:r w:rsidR="00EE395B" w:rsidRPr="00BA69C8">
        <w:rPr>
          <w:b/>
          <w:bCs/>
        </w:rPr>
        <w:t>protocol</w:t>
      </w:r>
      <w:r w:rsidR="00EE395B" w:rsidRPr="00EF4767">
        <w:t>;</w:t>
      </w:r>
      <w:r w:rsidRPr="00EF4767">
        <w:t xml:space="preserve"> IRB applications are not acceptable.</w:t>
      </w:r>
      <w:r w:rsidR="0065263D">
        <w:t xml:space="preserve"> A template is </w:t>
      </w:r>
      <w:r w:rsidR="00EE395B">
        <w:t>available on our website</w:t>
      </w:r>
      <w:r w:rsidR="0065263D">
        <w:t>.</w:t>
      </w:r>
      <w:r w:rsidR="00062976">
        <w:t xml:space="preserve"> We have also had success taking the IRB application and removing the instructions and adding headings</w:t>
      </w:r>
      <w:r w:rsidR="00EE395B">
        <w:t>, but please make sure that all components of a protocol are included.</w:t>
      </w:r>
    </w:p>
    <w:p w14:paraId="1E4F6C24" w14:textId="3AB2286E" w:rsidR="00B245DB" w:rsidRPr="00EF4767" w:rsidRDefault="00B245DB" w:rsidP="008B335F">
      <w:pPr>
        <w:pStyle w:val="ListParagraph"/>
        <w:numPr>
          <w:ilvl w:val="0"/>
          <w:numId w:val="11"/>
        </w:numPr>
        <w:spacing w:after="0"/>
      </w:pPr>
      <w:r w:rsidRPr="00EF4767">
        <w:t xml:space="preserve">Please </w:t>
      </w:r>
      <w:r w:rsidR="001E72B7">
        <w:t>include</w:t>
      </w:r>
      <w:r w:rsidRPr="00EF4767">
        <w:t xml:space="preserve"> all sources of data</w:t>
      </w:r>
    </w:p>
    <w:p w14:paraId="4A236ACD" w14:textId="26AF76FB" w:rsidR="00145205" w:rsidRDefault="00145205" w:rsidP="008B335F">
      <w:pPr>
        <w:pStyle w:val="ListParagraph"/>
        <w:numPr>
          <w:ilvl w:val="0"/>
          <w:numId w:val="11"/>
        </w:numPr>
      </w:pPr>
      <w:r w:rsidRPr="003D38FF">
        <w:rPr>
          <w:b/>
          <w:bCs/>
        </w:rPr>
        <w:lastRenderedPageBreak/>
        <w:t>Describing the Parent Study vs. CFAR Developmental Study:</w:t>
      </w:r>
      <w:r w:rsidRPr="00EF4767">
        <w:t xml:space="preserve"> Do not describe the parent study in documents sent for NIH review unless: </w:t>
      </w:r>
    </w:p>
    <w:p w14:paraId="4BC525C5" w14:textId="77777777" w:rsidR="00145205" w:rsidRDefault="00145205" w:rsidP="006C79EE">
      <w:pPr>
        <w:pStyle w:val="ListParagraph"/>
        <w:numPr>
          <w:ilvl w:val="2"/>
          <w:numId w:val="8"/>
        </w:numPr>
      </w:pPr>
      <w:r w:rsidRPr="00EF4767">
        <w:t xml:space="preserve">Specimens/data from parent study will be used for pilot study </w:t>
      </w:r>
    </w:p>
    <w:p w14:paraId="3E277121" w14:textId="77777777" w:rsidR="00E314C5" w:rsidRDefault="00145205" w:rsidP="00E314C5">
      <w:pPr>
        <w:pStyle w:val="ListParagraph"/>
        <w:numPr>
          <w:ilvl w:val="2"/>
          <w:numId w:val="8"/>
        </w:numPr>
        <w:spacing w:after="0"/>
      </w:pPr>
      <w:r w:rsidRPr="00EF4767">
        <w:t>Study participants are drawn from the parent study</w:t>
      </w:r>
    </w:p>
    <w:p w14:paraId="6956F035" w14:textId="4686227E" w:rsidR="00145205" w:rsidRPr="00E314C5" w:rsidRDefault="00145205" w:rsidP="00E314C5">
      <w:pPr>
        <w:pStyle w:val="ListParagraph"/>
        <w:numPr>
          <w:ilvl w:val="2"/>
          <w:numId w:val="8"/>
        </w:numPr>
        <w:spacing w:after="0"/>
      </w:pPr>
      <w:r w:rsidRPr="00EF4767">
        <w:t xml:space="preserve">THEN: Make clear the differences between </w:t>
      </w:r>
      <w:proofErr w:type="gramStart"/>
      <w:r w:rsidRPr="00EF4767">
        <w:t>the parent</w:t>
      </w:r>
      <w:proofErr w:type="gramEnd"/>
      <w:r w:rsidRPr="00EF4767">
        <w:t xml:space="preserve"> study and </w:t>
      </w:r>
      <w:proofErr w:type="gramStart"/>
      <w:r w:rsidRPr="00EF4767">
        <w:t>the pilot</w:t>
      </w:r>
      <w:proofErr w:type="gramEnd"/>
      <w:r w:rsidRPr="00EF4767">
        <w:t xml:space="preserve"> study. Describe the participants, but not</w:t>
      </w:r>
      <w:r w:rsidR="00021593">
        <w:t xml:space="preserve"> from</w:t>
      </w:r>
      <w:r w:rsidRPr="00EF4767">
        <w:t xml:space="preserve"> the parent </w:t>
      </w:r>
      <w:proofErr w:type="gramStart"/>
      <w:r w:rsidRPr="00EF4767">
        <w:t>study in depth</w:t>
      </w:r>
      <w:proofErr w:type="gramEnd"/>
      <w:r w:rsidRPr="00EF4767">
        <w:t>.</w:t>
      </w:r>
      <w:r w:rsidR="00E314C5">
        <w:t xml:space="preserve"> </w:t>
      </w:r>
      <w:r w:rsidRPr="00E314C5">
        <w:rPr>
          <w:u w:val="single"/>
        </w:rPr>
        <w:t>A table summarizing the differences is very helpful.</w:t>
      </w:r>
    </w:p>
    <w:p w14:paraId="148FD6A9" w14:textId="0898172A" w:rsidR="00145205" w:rsidRPr="00EF4767" w:rsidRDefault="00145205" w:rsidP="00E314C5">
      <w:pPr>
        <w:pStyle w:val="ListParagraph"/>
        <w:numPr>
          <w:ilvl w:val="0"/>
          <w:numId w:val="11"/>
        </w:numPr>
      </w:pPr>
      <w:r w:rsidRPr="003D38FF">
        <w:rPr>
          <w:b/>
          <w:bCs/>
        </w:rPr>
        <w:t>Standard/Routine Care</w:t>
      </w:r>
      <w:r w:rsidRPr="00EF4767">
        <w:t xml:space="preserve">: Standard care procedures should only be described </w:t>
      </w:r>
      <w:proofErr w:type="gramStart"/>
      <w:r w:rsidRPr="00EF4767">
        <w:t>IF</w:t>
      </w:r>
      <w:proofErr w:type="gramEnd"/>
      <w:r w:rsidRPr="00EF4767">
        <w:t xml:space="preserve"> specimens and/or data obtained will be used for the pilot study. Clearly state if any tests described in the pilot study are standard/routine. You do not need a long description of the standard of care</w:t>
      </w:r>
    </w:p>
    <w:p w14:paraId="7F41FF53" w14:textId="316267E5" w:rsidR="007633E6" w:rsidRDefault="001E72B7" w:rsidP="00E06E2D">
      <w:pPr>
        <w:pStyle w:val="ListParagraph"/>
        <w:numPr>
          <w:ilvl w:val="0"/>
          <w:numId w:val="12"/>
        </w:numPr>
      </w:pPr>
      <w:r>
        <w:t xml:space="preserve">The </w:t>
      </w:r>
      <w:r w:rsidR="007633E6" w:rsidRPr="00EF4767">
        <w:t xml:space="preserve">NIH approval process is usually </w:t>
      </w:r>
      <w:r w:rsidR="00CF57E1" w:rsidRPr="00EF4767">
        <w:t>completed</w:t>
      </w:r>
      <w:r w:rsidR="007633E6" w:rsidRPr="00EF4767">
        <w:t xml:space="preserve"> in 4-6 weeks but depends on the quality of the submission materials.  Studies in India and Brazil will take longer due to in-country reviews that are required.</w:t>
      </w:r>
    </w:p>
    <w:p w14:paraId="03852D74" w14:textId="77777777" w:rsidR="00CF57E1" w:rsidRPr="00CF57E1" w:rsidRDefault="00FB4E0E" w:rsidP="00FD2E7B">
      <w:pPr>
        <w:numPr>
          <w:ilvl w:val="0"/>
          <w:numId w:val="4"/>
        </w:numPr>
        <w:tabs>
          <w:tab w:val="clear" w:pos="720"/>
        </w:tabs>
        <w:spacing w:after="0"/>
        <w:ind w:left="360"/>
      </w:pPr>
      <w:r>
        <w:t xml:space="preserve">Any </w:t>
      </w:r>
      <w:r w:rsidRPr="00DA0977">
        <w:rPr>
          <w:b/>
          <w:bCs/>
        </w:rPr>
        <w:t>Human Subject Research</w:t>
      </w:r>
      <w:r>
        <w:t xml:space="preserve"> also requires the completion of the </w:t>
      </w:r>
      <w:r w:rsidR="00DA0977">
        <w:t>PHS Human</w:t>
      </w:r>
      <w:r w:rsidR="003D09CF" w:rsidRPr="003D09CF">
        <w:t xml:space="preserve"> Subjects and Clinical Trials Information</w:t>
      </w:r>
      <w:r w:rsidR="003D09CF">
        <w:t xml:space="preserve"> Form.</w:t>
      </w:r>
      <w:r w:rsidR="00BB7688">
        <w:t xml:space="preserve"> </w:t>
      </w:r>
      <w:r w:rsidR="00BB7688" w:rsidRPr="00E77082">
        <w:rPr>
          <w:b/>
          <w:bCs/>
        </w:rPr>
        <w:t>**For non-clinical trials (all CFAR studies) you may STOP after question</w:t>
      </w:r>
      <w:r w:rsidR="00E77082" w:rsidRPr="00E77082">
        <w:rPr>
          <w:b/>
          <w:bCs/>
        </w:rPr>
        <w:t xml:space="preserve"> 3.1**</w:t>
      </w:r>
      <w:r w:rsidR="00E77082">
        <w:rPr>
          <w:b/>
          <w:bCs/>
        </w:rPr>
        <w:t xml:space="preserve"> </w:t>
      </w:r>
    </w:p>
    <w:p w14:paraId="3F53D40B" w14:textId="237CBDAC" w:rsidR="00FB4E0E" w:rsidRDefault="00E77082" w:rsidP="00CF57E1">
      <w:pPr>
        <w:spacing w:after="0"/>
        <w:ind w:firstLine="360"/>
      </w:pPr>
      <w:r>
        <w:t>Some pointers:</w:t>
      </w:r>
    </w:p>
    <w:p w14:paraId="01A50169" w14:textId="1D9D8703" w:rsidR="00FD2E7B" w:rsidRDefault="00726CF3" w:rsidP="007136FC">
      <w:pPr>
        <w:numPr>
          <w:ilvl w:val="1"/>
          <w:numId w:val="4"/>
        </w:numPr>
        <w:spacing w:after="0"/>
        <w:ind w:left="1080"/>
      </w:pPr>
      <w:r>
        <w:t xml:space="preserve">Questions 1.2/1.3 Check </w:t>
      </w:r>
      <w:hyperlink r:id="rId9" w:history="1">
        <w:r w:rsidRPr="00726CF3">
          <w:rPr>
            <w:rStyle w:val="Hyperlink"/>
          </w:rPr>
          <w:t>HERE</w:t>
        </w:r>
      </w:hyperlink>
      <w:r>
        <w:t xml:space="preserve"> for exemption information</w:t>
      </w:r>
    </w:p>
    <w:p w14:paraId="76B87520" w14:textId="5655F3C3" w:rsidR="007136FC" w:rsidRDefault="007136FC" w:rsidP="007136FC">
      <w:pPr>
        <w:numPr>
          <w:ilvl w:val="1"/>
          <w:numId w:val="4"/>
        </w:numPr>
        <w:spacing w:after="0"/>
        <w:ind w:left="1080"/>
      </w:pPr>
      <w:r>
        <w:t xml:space="preserve">Question </w:t>
      </w:r>
      <w:r w:rsidR="00787199">
        <w:t>1.4 – You should not be answering yes to all 4 questions for any CFAR-funded study</w:t>
      </w:r>
    </w:p>
    <w:p w14:paraId="707F2453" w14:textId="5D6E4928" w:rsidR="007D2916" w:rsidRDefault="007D2916" w:rsidP="007136FC">
      <w:pPr>
        <w:numPr>
          <w:ilvl w:val="1"/>
          <w:numId w:val="4"/>
        </w:numPr>
        <w:spacing w:after="0"/>
        <w:ind w:left="1080"/>
      </w:pPr>
      <w:r>
        <w:t>Question 1.5 – n/a – not required for any CFAR-funded study</w:t>
      </w:r>
    </w:p>
    <w:p w14:paraId="47E84D49" w14:textId="7C9264E5" w:rsidR="00D001E0" w:rsidRDefault="00D001E0" w:rsidP="007136FC">
      <w:pPr>
        <w:numPr>
          <w:ilvl w:val="1"/>
          <w:numId w:val="4"/>
        </w:numPr>
        <w:spacing w:after="0"/>
        <w:ind w:left="1080"/>
      </w:pPr>
      <w:r>
        <w:t>Question 2.1 – keep short and concise</w:t>
      </w:r>
      <w:r w:rsidR="008814B9">
        <w:t>, can stick with just HIV if you like…</w:t>
      </w:r>
    </w:p>
    <w:p w14:paraId="01E007E2" w14:textId="17CDE136" w:rsidR="008814B9" w:rsidRDefault="008814B9" w:rsidP="007136FC">
      <w:pPr>
        <w:numPr>
          <w:ilvl w:val="1"/>
          <w:numId w:val="4"/>
        </w:numPr>
        <w:spacing w:after="0"/>
        <w:ind w:left="1080"/>
      </w:pPr>
      <w:r>
        <w:t xml:space="preserve">Question </w:t>
      </w:r>
      <w:r w:rsidR="00FE5F46">
        <w:t>2.3 – required, use the dropdown boxes to select units</w:t>
      </w:r>
    </w:p>
    <w:p w14:paraId="173C2DC8" w14:textId="18B12632" w:rsidR="00787199" w:rsidRDefault="00FE5F46" w:rsidP="007136FC">
      <w:pPr>
        <w:numPr>
          <w:ilvl w:val="1"/>
          <w:numId w:val="4"/>
        </w:numPr>
        <w:spacing w:after="0"/>
        <w:ind w:left="1080"/>
      </w:pPr>
      <w:r>
        <w:t>Questions 2.3.a</w:t>
      </w:r>
      <w:r w:rsidR="00E97FC1">
        <w:t xml:space="preserve"> – 2.5, and 3.1 – upload </w:t>
      </w:r>
      <w:r w:rsidR="00E97FC1" w:rsidRPr="00E97FC1">
        <w:rPr>
          <w:b/>
          <w:bCs/>
        </w:rPr>
        <w:t>PDF</w:t>
      </w:r>
      <w:r w:rsidR="00E97FC1">
        <w:t xml:space="preserve"> for each. Most are just a few sentences.</w:t>
      </w:r>
    </w:p>
    <w:p w14:paraId="7F9344DB" w14:textId="77777777" w:rsidR="007750BF" w:rsidRDefault="00792465" w:rsidP="007136FC">
      <w:pPr>
        <w:numPr>
          <w:ilvl w:val="1"/>
          <w:numId w:val="4"/>
        </w:numPr>
        <w:spacing w:after="0"/>
        <w:ind w:left="1080"/>
      </w:pPr>
      <w:r>
        <w:t>Inclusion Enrollment Reports</w:t>
      </w:r>
      <w:r w:rsidR="007750BF">
        <w:t>:</w:t>
      </w:r>
    </w:p>
    <w:p w14:paraId="4369A15C" w14:textId="6ACE189E" w:rsidR="00C4359A" w:rsidRDefault="00792465" w:rsidP="007750BF">
      <w:pPr>
        <w:numPr>
          <w:ilvl w:val="2"/>
          <w:numId w:val="4"/>
        </w:numPr>
        <w:spacing w:after="0"/>
        <w:ind w:left="1440"/>
      </w:pPr>
      <w:r>
        <w:t>If you have not started enrollment, the planned</w:t>
      </w:r>
      <w:r w:rsidR="007750BF">
        <w:t xml:space="preserve"> table</w:t>
      </w:r>
      <w:r>
        <w:t xml:space="preserve"> is required – do the best you can </w:t>
      </w:r>
      <w:proofErr w:type="spellStart"/>
      <w:r>
        <w:t>guestimating</w:t>
      </w:r>
      <w:proofErr w:type="spellEnd"/>
      <w:r>
        <w:t xml:space="preserve"> the breakdown </w:t>
      </w:r>
    </w:p>
    <w:p w14:paraId="4D7E9421" w14:textId="27C4EC53" w:rsidR="00792465" w:rsidRDefault="007750BF" w:rsidP="00DA0977">
      <w:pPr>
        <w:numPr>
          <w:ilvl w:val="2"/>
          <w:numId w:val="4"/>
        </w:numPr>
        <w:ind w:left="1440"/>
      </w:pPr>
      <w:r>
        <w:t>If you have more than one site, you will need one table per site</w:t>
      </w:r>
    </w:p>
    <w:p w14:paraId="567EF9B7" w14:textId="5287D06D" w:rsidR="00EF4767" w:rsidRPr="00EF4767" w:rsidRDefault="00EF4767" w:rsidP="00E06E2D">
      <w:pPr>
        <w:numPr>
          <w:ilvl w:val="0"/>
          <w:numId w:val="4"/>
        </w:numPr>
        <w:tabs>
          <w:tab w:val="clear" w:pos="720"/>
        </w:tabs>
        <w:spacing w:after="0"/>
        <w:ind w:left="360"/>
      </w:pPr>
      <w:r w:rsidRPr="00EF4767">
        <w:t>For studies with any </w:t>
      </w:r>
      <w:r w:rsidRPr="00EF4767">
        <w:rPr>
          <w:b/>
          <w:bCs/>
        </w:rPr>
        <w:t>Foreign</w:t>
      </w:r>
      <w:r w:rsidRPr="00EF4767">
        <w:t> Component</w:t>
      </w:r>
      <w:r w:rsidR="004E6BAD">
        <w:t>, a</w:t>
      </w:r>
      <w:r w:rsidRPr="00EF4767">
        <w:t>n International Studies Checklist must be completed.</w:t>
      </w:r>
    </w:p>
    <w:p w14:paraId="03A1FDA5" w14:textId="788C5BCF" w:rsidR="000171A0" w:rsidRPr="00136BD9" w:rsidRDefault="000171A0" w:rsidP="00E06E2D">
      <w:pPr>
        <w:pStyle w:val="ListParagraph"/>
        <w:numPr>
          <w:ilvl w:val="0"/>
          <w:numId w:val="12"/>
        </w:numPr>
        <w:rPr>
          <w:b/>
          <w:bCs/>
        </w:rPr>
      </w:pPr>
      <w:r w:rsidRPr="00136BD9">
        <w:rPr>
          <w:b/>
          <w:bCs/>
        </w:rPr>
        <w:t xml:space="preserve">Foreign Sub-contracts are no longer allowed by the NIH. </w:t>
      </w:r>
    </w:p>
    <w:p w14:paraId="60D05408" w14:textId="7E4DA438" w:rsidR="00EF4767" w:rsidRPr="00EF4767" w:rsidRDefault="00872002" w:rsidP="00E06E2D">
      <w:pPr>
        <w:pStyle w:val="ListParagraph"/>
        <w:numPr>
          <w:ilvl w:val="0"/>
          <w:numId w:val="12"/>
        </w:numPr>
      </w:pPr>
      <w:r>
        <w:t>I</w:t>
      </w:r>
      <w:r w:rsidR="00EF4767" w:rsidRPr="00EF4767">
        <w:t>f more than one clinic/site is participating in the study:</w:t>
      </w:r>
    </w:p>
    <w:p w14:paraId="33348E59" w14:textId="77777777" w:rsidR="00EF4767" w:rsidRPr="00EF4767" w:rsidRDefault="00EF4767" w:rsidP="00872002">
      <w:pPr>
        <w:pStyle w:val="ListParagraph"/>
        <w:numPr>
          <w:ilvl w:val="1"/>
          <w:numId w:val="12"/>
        </w:numPr>
      </w:pPr>
      <w:r w:rsidRPr="00EF4767">
        <w:t>A name and contact information for each must be provided (Question 10)</w:t>
      </w:r>
    </w:p>
    <w:p w14:paraId="0245C533" w14:textId="77777777" w:rsidR="00EF4767" w:rsidRPr="00EF4767" w:rsidRDefault="00EF4767" w:rsidP="00872002">
      <w:pPr>
        <w:pStyle w:val="ListParagraph"/>
        <w:numPr>
          <w:ilvl w:val="1"/>
          <w:numId w:val="12"/>
        </w:numPr>
      </w:pPr>
      <w:r w:rsidRPr="00EF4767">
        <w:t>The Estimated Foreign dollar award must be listed for each (Question 10a)</w:t>
      </w:r>
    </w:p>
    <w:p w14:paraId="49AAF956" w14:textId="77777777" w:rsidR="00EF4767" w:rsidRPr="00EF4767" w:rsidRDefault="00EF4767" w:rsidP="00872002">
      <w:pPr>
        <w:pStyle w:val="ListParagraph"/>
        <w:numPr>
          <w:ilvl w:val="1"/>
          <w:numId w:val="12"/>
        </w:numPr>
        <w:spacing w:after="0"/>
      </w:pPr>
      <w:r w:rsidRPr="00EF4767">
        <w:t>The FWA must cover each specifically (by name) (Question 11a)</w:t>
      </w:r>
    </w:p>
    <w:p w14:paraId="3F2C40D8" w14:textId="77777777" w:rsidR="00EF4767" w:rsidRPr="00EF4767" w:rsidRDefault="00EF4767" w:rsidP="00E06E2D">
      <w:pPr>
        <w:pStyle w:val="ListParagraph"/>
        <w:numPr>
          <w:ilvl w:val="0"/>
          <w:numId w:val="12"/>
        </w:numPr>
        <w:spacing w:after="0"/>
      </w:pPr>
      <w:r w:rsidRPr="00EF4767">
        <w:lastRenderedPageBreak/>
        <w:t>Human Subjects Research Training Certificates must be provided for all study personnel and those using unblinded data (Question 11b)</w:t>
      </w:r>
    </w:p>
    <w:p w14:paraId="1FC07ED4" w14:textId="77777777" w:rsidR="00EF4767" w:rsidRPr="00EF4767" w:rsidRDefault="00EF4767" w:rsidP="00E06E2D">
      <w:pPr>
        <w:pStyle w:val="ListParagraph"/>
        <w:numPr>
          <w:ilvl w:val="0"/>
          <w:numId w:val="12"/>
        </w:numPr>
      </w:pPr>
      <w:r w:rsidRPr="00EF4767">
        <w:t>If the study is considered exempt by the IRB, an exemption letter is also required from the foreign IRB</w:t>
      </w:r>
    </w:p>
    <w:p w14:paraId="36CE551F" w14:textId="77777777" w:rsidR="00EF4767" w:rsidRPr="00EF4767" w:rsidRDefault="00EF4767" w:rsidP="002E3EFB">
      <w:pPr>
        <w:numPr>
          <w:ilvl w:val="0"/>
          <w:numId w:val="6"/>
        </w:numPr>
        <w:tabs>
          <w:tab w:val="clear" w:pos="720"/>
        </w:tabs>
        <w:ind w:left="360"/>
      </w:pPr>
      <w:r w:rsidRPr="00EF4767">
        <w:t>All materials should be submitted to the CFAR Project Administrator, who will then forward to the NIH.  You </w:t>
      </w:r>
      <w:r w:rsidRPr="00EF4767">
        <w:rPr>
          <w:b/>
          <w:bCs/>
          <w:u w:val="single"/>
        </w:rPr>
        <w:t>MAY NOT</w:t>
      </w:r>
      <w:r w:rsidRPr="00EF4767">
        <w:t> begin your study without required NIH approvals.  You will be notified by the CFAR Project Administrator when you may begin.</w:t>
      </w:r>
    </w:p>
    <w:p w14:paraId="24A45264" w14:textId="77777777" w:rsidR="00EF4767" w:rsidRPr="00EF4767" w:rsidRDefault="00EF4767" w:rsidP="002E3EFB">
      <w:pPr>
        <w:numPr>
          <w:ilvl w:val="0"/>
          <w:numId w:val="6"/>
        </w:numPr>
        <w:tabs>
          <w:tab w:val="clear" w:pos="720"/>
        </w:tabs>
        <w:ind w:left="360"/>
      </w:pPr>
      <w:r w:rsidRPr="00EF4767">
        <w:t>You are required to maintain annual IRB approval.  This/these letter(s) will need to be submitted to the CFAR Project Administrator.</w:t>
      </w:r>
    </w:p>
    <w:p w14:paraId="4EF98EC8" w14:textId="0DE8B42D" w:rsidR="00EF4767" w:rsidRPr="00EF4767" w:rsidRDefault="00EF4767" w:rsidP="002E3EFB">
      <w:pPr>
        <w:numPr>
          <w:ilvl w:val="0"/>
          <w:numId w:val="6"/>
        </w:numPr>
        <w:tabs>
          <w:tab w:val="clear" w:pos="720"/>
        </w:tabs>
        <w:ind w:left="360"/>
      </w:pPr>
      <w:r w:rsidRPr="00EF4767">
        <w:t xml:space="preserve">If IRB approval is not required for </w:t>
      </w:r>
      <w:r w:rsidR="00044D6B" w:rsidRPr="00EF4767">
        <w:t>your</w:t>
      </w:r>
      <w:r w:rsidRPr="00EF4767">
        <w:t xml:space="preserve"> study, please apply for a letter of exemption from the IRB and submit this letter to the CFAR Project Administrator.</w:t>
      </w:r>
    </w:p>
    <w:p w14:paraId="56E7814C" w14:textId="77777777" w:rsidR="00EF4767" w:rsidRPr="00EF4767" w:rsidRDefault="00EF4767" w:rsidP="002E3EFB">
      <w:pPr>
        <w:numPr>
          <w:ilvl w:val="0"/>
          <w:numId w:val="6"/>
        </w:numPr>
        <w:tabs>
          <w:tab w:val="clear" w:pos="720"/>
        </w:tabs>
        <w:ind w:left="360"/>
      </w:pPr>
      <w:r w:rsidRPr="00EF4767">
        <w:t> If your study involves animals, you must submit IACUC approval to the CFAR Project Administrator prior to starting your study.</w:t>
      </w:r>
    </w:p>
    <w:p w14:paraId="0A581701" w14:textId="5E029703" w:rsidR="00EF4767" w:rsidRPr="00EF4767" w:rsidRDefault="00EF4767" w:rsidP="002E3EFB">
      <w:pPr>
        <w:numPr>
          <w:ilvl w:val="0"/>
          <w:numId w:val="6"/>
        </w:numPr>
        <w:tabs>
          <w:tab w:val="clear" w:pos="720"/>
        </w:tabs>
        <w:ind w:left="360"/>
      </w:pPr>
      <w:r w:rsidRPr="00EF4767">
        <w:t>You are required to complete a yearly progress report.  You will receive a survey to complete by e-mail each January.</w:t>
      </w:r>
      <w:r w:rsidR="00044D6B">
        <w:t xml:space="preserve"> A template is available on our website, but this is for planning only. The </w:t>
      </w:r>
      <w:r w:rsidR="002E3EFB">
        <w:t>report will be submitted through RedCap.</w:t>
      </w:r>
      <w:r w:rsidR="00044D6B" w:rsidRPr="00EF4767">
        <w:t xml:space="preserve"> </w:t>
      </w:r>
    </w:p>
    <w:p w14:paraId="43089627" w14:textId="1194F6CC" w:rsidR="0007433A" w:rsidRDefault="00EF4767" w:rsidP="00062808">
      <w:pPr>
        <w:numPr>
          <w:ilvl w:val="0"/>
          <w:numId w:val="6"/>
        </w:numPr>
        <w:tabs>
          <w:tab w:val="clear" w:pos="720"/>
        </w:tabs>
        <w:ind w:left="360"/>
      </w:pPr>
      <w:r w:rsidRPr="00EF4767">
        <w:t xml:space="preserve">You must acknowledge the CFAR in all publications, </w:t>
      </w:r>
      <w:r w:rsidR="00CF57E1" w:rsidRPr="00EF4767">
        <w:t>presentations</w:t>
      </w:r>
      <w:r w:rsidRPr="00EF4767">
        <w:t>, etc. related to this award.  </w:t>
      </w:r>
      <w:hyperlink r:id="rId10" w:history="1">
        <w:r w:rsidRPr="00EF4767">
          <w:rPr>
            <w:rStyle w:val="Hyperlink"/>
          </w:rPr>
          <w:t>More information is available here.</w:t>
        </w:r>
      </w:hyperlink>
    </w:p>
    <w:p w14:paraId="1EB4E9B6" w14:textId="77777777" w:rsidR="00021593" w:rsidRPr="00021593" w:rsidRDefault="00021593" w:rsidP="00021593"/>
    <w:p w14:paraId="6FA2A5DB" w14:textId="77777777" w:rsidR="00021593" w:rsidRPr="00021593" w:rsidRDefault="00021593" w:rsidP="00021593"/>
    <w:p w14:paraId="1B233E24" w14:textId="77777777" w:rsidR="00021593" w:rsidRPr="00021593" w:rsidRDefault="00021593" w:rsidP="00021593"/>
    <w:p w14:paraId="38AA7D3F" w14:textId="77777777" w:rsidR="00021593" w:rsidRPr="00021593" w:rsidRDefault="00021593" w:rsidP="00021593"/>
    <w:p w14:paraId="5EDEA9B3" w14:textId="77777777" w:rsidR="00021593" w:rsidRPr="00021593" w:rsidRDefault="00021593" w:rsidP="00021593"/>
    <w:p w14:paraId="558BA2BB" w14:textId="77777777" w:rsidR="00021593" w:rsidRPr="00021593" w:rsidRDefault="00021593" w:rsidP="00021593"/>
    <w:p w14:paraId="28E0F809" w14:textId="77777777" w:rsidR="00021593" w:rsidRPr="00021593" w:rsidRDefault="00021593" w:rsidP="00021593"/>
    <w:p w14:paraId="3FA663F4" w14:textId="77777777" w:rsidR="00021593" w:rsidRPr="00021593" w:rsidRDefault="00021593" w:rsidP="00021593"/>
    <w:p w14:paraId="7C985F3C" w14:textId="77777777" w:rsidR="00021593" w:rsidRPr="00021593" w:rsidRDefault="00021593" w:rsidP="00021593"/>
    <w:p w14:paraId="694725F3" w14:textId="77777777" w:rsidR="00021593" w:rsidRPr="00021593" w:rsidRDefault="00021593" w:rsidP="00021593"/>
    <w:p w14:paraId="1B385827" w14:textId="77777777" w:rsidR="00021593" w:rsidRPr="00021593" w:rsidRDefault="00021593" w:rsidP="00021593"/>
    <w:p w14:paraId="53684F37" w14:textId="77777777" w:rsidR="00021593" w:rsidRPr="00021593" w:rsidRDefault="00021593" w:rsidP="00021593"/>
    <w:p w14:paraId="02C0B43E" w14:textId="77777777" w:rsidR="00021593" w:rsidRPr="00021593" w:rsidRDefault="00021593" w:rsidP="00021593"/>
    <w:p w14:paraId="6F2634B9" w14:textId="27C1A188" w:rsidR="00021593" w:rsidRPr="00021593" w:rsidRDefault="00021593" w:rsidP="00021593">
      <w:pPr>
        <w:tabs>
          <w:tab w:val="left" w:pos="8190"/>
        </w:tabs>
      </w:pPr>
      <w:r>
        <w:tab/>
      </w:r>
    </w:p>
    <w:sectPr w:rsidR="00021593" w:rsidRPr="00021593" w:rsidSect="00021593">
      <w:footerReference w:type="default" r:id="rId11"/>
      <w:pgSz w:w="12240" w:h="15840" w:code="1"/>
      <w:pgMar w:top="1152" w:right="1152" w:bottom="907"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CCC0" w14:textId="77777777" w:rsidR="00CE1942" w:rsidRDefault="00CE1942" w:rsidP="00021593">
      <w:pPr>
        <w:spacing w:after="0" w:line="240" w:lineRule="auto"/>
      </w:pPr>
      <w:r>
        <w:separator/>
      </w:r>
    </w:p>
  </w:endnote>
  <w:endnote w:type="continuationSeparator" w:id="0">
    <w:p w14:paraId="4DD5F6CB" w14:textId="77777777" w:rsidR="00CE1942" w:rsidRDefault="00CE1942" w:rsidP="0002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335148"/>
      <w:docPartObj>
        <w:docPartGallery w:val="Page Numbers (Bottom of Page)"/>
        <w:docPartUnique/>
      </w:docPartObj>
    </w:sdtPr>
    <w:sdtEndPr>
      <w:rPr>
        <w:noProof/>
      </w:rPr>
    </w:sdtEndPr>
    <w:sdtContent>
      <w:p w14:paraId="1E064508" w14:textId="14C8CE95" w:rsidR="00021593" w:rsidRDefault="00021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A4A36" w14:textId="48FACB47" w:rsidR="00021593" w:rsidRPr="00055045" w:rsidRDefault="00376A45">
    <w:pPr>
      <w:pStyle w:val="Footer"/>
      <w:rPr>
        <w:sz w:val="20"/>
        <w:szCs w:val="20"/>
      </w:rPr>
    </w:pPr>
    <w:r w:rsidRPr="00055045">
      <w:rPr>
        <w:sz w:val="20"/>
        <w:szCs w:val="20"/>
      </w:rPr>
      <w:t xml:space="preserve">CFAR Award Information </w:t>
    </w:r>
    <w:r w:rsidR="00055045" w:rsidRPr="00055045">
      <w:rPr>
        <w:sz w:val="20"/>
        <w:szCs w:val="20"/>
      </w:rPr>
      <w:t>10/15/2025</w:t>
    </w:r>
  </w:p>
  <w:p w14:paraId="2601A422" w14:textId="77777777" w:rsidR="00055045" w:rsidRDefault="000550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F9FD" w14:textId="77777777" w:rsidR="00CE1942" w:rsidRDefault="00CE1942" w:rsidP="00021593">
      <w:pPr>
        <w:spacing w:after="0" w:line="240" w:lineRule="auto"/>
      </w:pPr>
      <w:r>
        <w:separator/>
      </w:r>
    </w:p>
  </w:footnote>
  <w:footnote w:type="continuationSeparator" w:id="0">
    <w:p w14:paraId="63B934CC" w14:textId="77777777" w:rsidR="00CE1942" w:rsidRDefault="00CE1942" w:rsidP="00021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092E"/>
    <w:multiLevelType w:val="multilevel"/>
    <w:tmpl w:val="CC6CE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96694"/>
    <w:multiLevelType w:val="multilevel"/>
    <w:tmpl w:val="2016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45D31"/>
    <w:multiLevelType w:val="hybridMultilevel"/>
    <w:tmpl w:val="F91E9A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2D2A2F"/>
    <w:multiLevelType w:val="hybridMultilevel"/>
    <w:tmpl w:val="D04C91DC"/>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38E67EC9"/>
    <w:multiLevelType w:val="multilevel"/>
    <w:tmpl w:val="BD2A7B60"/>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816C8"/>
    <w:multiLevelType w:val="multilevel"/>
    <w:tmpl w:val="31B2D2B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F5E398F"/>
    <w:multiLevelType w:val="multilevel"/>
    <w:tmpl w:val="129075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92B55"/>
    <w:multiLevelType w:val="multilevel"/>
    <w:tmpl w:val="28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C222A"/>
    <w:multiLevelType w:val="hybridMultilevel"/>
    <w:tmpl w:val="DA800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9A0653"/>
    <w:multiLevelType w:val="multilevel"/>
    <w:tmpl w:val="A740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8558B"/>
    <w:multiLevelType w:val="hybridMultilevel"/>
    <w:tmpl w:val="29B8F2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D55C05"/>
    <w:multiLevelType w:val="hybridMultilevel"/>
    <w:tmpl w:val="199E46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4923758">
    <w:abstractNumId w:val="1"/>
  </w:num>
  <w:num w:numId="2" w16cid:durableId="637416221">
    <w:abstractNumId w:val="7"/>
  </w:num>
  <w:num w:numId="3" w16cid:durableId="10572513">
    <w:abstractNumId w:val="9"/>
  </w:num>
  <w:num w:numId="4" w16cid:durableId="100343876">
    <w:abstractNumId w:val="4"/>
  </w:num>
  <w:num w:numId="5" w16cid:durableId="1697922760">
    <w:abstractNumId w:val="0"/>
  </w:num>
  <w:num w:numId="6" w16cid:durableId="228812899">
    <w:abstractNumId w:val="5"/>
  </w:num>
  <w:num w:numId="7" w16cid:durableId="1485245636">
    <w:abstractNumId w:val="10"/>
  </w:num>
  <w:num w:numId="8" w16cid:durableId="516500153">
    <w:abstractNumId w:val="6"/>
  </w:num>
  <w:num w:numId="9" w16cid:durableId="135344833">
    <w:abstractNumId w:val="8"/>
  </w:num>
  <w:num w:numId="10" w16cid:durableId="382870424">
    <w:abstractNumId w:val="2"/>
  </w:num>
  <w:num w:numId="11" w16cid:durableId="291637644">
    <w:abstractNumId w:val="3"/>
  </w:num>
  <w:num w:numId="12" w16cid:durableId="53548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67"/>
    <w:rsid w:val="000171A0"/>
    <w:rsid w:val="00021593"/>
    <w:rsid w:val="00044D6B"/>
    <w:rsid w:val="00055045"/>
    <w:rsid w:val="00062808"/>
    <w:rsid w:val="00062976"/>
    <w:rsid w:val="0007433A"/>
    <w:rsid w:val="000B3982"/>
    <w:rsid w:val="000E442D"/>
    <w:rsid w:val="0010769F"/>
    <w:rsid w:val="00132338"/>
    <w:rsid w:val="00136BD9"/>
    <w:rsid w:val="00145205"/>
    <w:rsid w:val="00182EAF"/>
    <w:rsid w:val="001E72B7"/>
    <w:rsid w:val="002E3EFB"/>
    <w:rsid w:val="00376A45"/>
    <w:rsid w:val="003D09CF"/>
    <w:rsid w:val="003D38FF"/>
    <w:rsid w:val="004955D0"/>
    <w:rsid w:val="004E6BAD"/>
    <w:rsid w:val="0065263D"/>
    <w:rsid w:val="006C79EE"/>
    <w:rsid w:val="007136FC"/>
    <w:rsid w:val="00726CF3"/>
    <w:rsid w:val="00740405"/>
    <w:rsid w:val="007633E6"/>
    <w:rsid w:val="007750BF"/>
    <w:rsid w:val="00787199"/>
    <w:rsid w:val="00792465"/>
    <w:rsid w:val="007D2916"/>
    <w:rsid w:val="00872002"/>
    <w:rsid w:val="008814B9"/>
    <w:rsid w:val="008B335F"/>
    <w:rsid w:val="009315B2"/>
    <w:rsid w:val="00A13ED8"/>
    <w:rsid w:val="00B245DB"/>
    <w:rsid w:val="00B55124"/>
    <w:rsid w:val="00BA69C8"/>
    <w:rsid w:val="00BB7688"/>
    <w:rsid w:val="00C4359A"/>
    <w:rsid w:val="00CE1942"/>
    <w:rsid w:val="00CF57E1"/>
    <w:rsid w:val="00D001E0"/>
    <w:rsid w:val="00D76989"/>
    <w:rsid w:val="00DA0977"/>
    <w:rsid w:val="00E06E2D"/>
    <w:rsid w:val="00E314C5"/>
    <w:rsid w:val="00E77082"/>
    <w:rsid w:val="00E97FC1"/>
    <w:rsid w:val="00EE395B"/>
    <w:rsid w:val="00EF4767"/>
    <w:rsid w:val="00F12280"/>
    <w:rsid w:val="00FB4E0E"/>
    <w:rsid w:val="00FD2E7B"/>
    <w:rsid w:val="00FE43E9"/>
    <w:rsid w:val="00FE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BEF78"/>
  <w15:chartTrackingRefBased/>
  <w15:docId w15:val="{801B2AC7-6DFA-4CA5-83E1-9185B882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767"/>
    <w:rPr>
      <w:rFonts w:eastAsiaTheme="majorEastAsia" w:cstheme="majorBidi"/>
      <w:color w:val="272727" w:themeColor="text1" w:themeTint="D8"/>
    </w:rPr>
  </w:style>
  <w:style w:type="paragraph" w:styleId="Title">
    <w:name w:val="Title"/>
    <w:basedOn w:val="Normal"/>
    <w:next w:val="Normal"/>
    <w:link w:val="TitleChar"/>
    <w:uiPriority w:val="10"/>
    <w:qFormat/>
    <w:rsid w:val="00EF4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767"/>
    <w:pPr>
      <w:spacing w:before="160"/>
      <w:jc w:val="center"/>
    </w:pPr>
    <w:rPr>
      <w:i/>
      <w:iCs/>
      <w:color w:val="404040" w:themeColor="text1" w:themeTint="BF"/>
    </w:rPr>
  </w:style>
  <w:style w:type="character" w:customStyle="1" w:styleId="QuoteChar">
    <w:name w:val="Quote Char"/>
    <w:basedOn w:val="DefaultParagraphFont"/>
    <w:link w:val="Quote"/>
    <w:uiPriority w:val="29"/>
    <w:rsid w:val="00EF4767"/>
    <w:rPr>
      <w:i/>
      <w:iCs/>
      <w:color w:val="404040" w:themeColor="text1" w:themeTint="BF"/>
    </w:rPr>
  </w:style>
  <w:style w:type="paragraph" w:styleId="ListParagraph">
    <w:name w:val="List Paragraph"/>
    <w:basedOn w:val="Normal"/>
    <w:uiPriority w:val="34"/>
    <w:qFormat/>
    <w:rsid w:val="00EF4767"/>
    <w:pPr>
      <w:ind w:left="720"/>
      <w:contextualSpacing/>
    </w:pPr>
  </w:style>
  <w:style w:type="character" w:styleId="IntenseEmphasis">
    <w:name w:val="Intense Emphasis"/>
    <w:basedOn w:val="DefaultParagraphFont"/>
    <w:uiPriority w:val="21"/>
    <w:qFormat/>
    <w:rsid w:val="00EF4767"/>
    <w:rPr>
      <w:i/>
      <w:iCs/>
      <w:color w:val="0F4761" w:themeColor="accent1" w:themeShade="BF"/>
    </w:rPr>
  </w:style>
  <w:style w:type="paragraph" w:styleId="IntenseQuote">
    <w:name w:val="Intense Quote"/>
    <w:basedOn w:val="Normal"/>
    <w:next w:val="Normal"/>
    <w:link w:val="IntenseQuoteChar"/>
    <w:uiPriority w:val="30"/>
    <w:qFormat/>
    <w:rsid w:val="00EF4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767"/>
    <w:rPr>
      <w:i/>
      <w:iCs/>
      <w:color w:val="0F4761" w:themeColor="accent1" w:themeShade="BF"/>
    </w:rPr>
  </w:style>
  <w:style w:type="character" w:styleId="IntenseReference">
    <w:name w:val="Intense Reference"/>
    <w:basedOn w:val="DefaultParagraphFont"/>
    <w:uiPriority w:val="32"/>
    <w:qFormat/>
    <w:rsid w:val="00EF4767"/>
    <w:rPr>
      <w:b/>
      <w:bCs/>
      <w:smallCaps/>
      <w:color w:val="0F4761" w:themeColor="accent1" w:themeShade="BF"/>
      <w:spacing w:val="5"/>
    </w:rPr>
  </w:style>
  <w:style w:type="character" w:styleId="Hyperlink">
    <w:name w:val="Hyperlink"/>
    <w:basedOn w:val="DefaultParagraphFont"/>
    <w:uiPriority w:val="99"/>
    <w:unhideWhenUsed/>
    <w:rsid w:val="00EF4767"/>
    <w:rPr>
      <w:color w:val="467886" w:themeColor="hyperlink"/>
      <w:u w:val="single"/>
    </w:rPr>
  </w:style>
  <w:style w:type="character" w:styleId="UnresolvedMention">
    <w:name w:val="Unresolved Mention"/>
    <w:basedOn w:val="DefaultParagraphFont"/>
    <w:uiPriority w:val="99"/>
    <w:semiHidden/>
    <w:unhideWhenUsed/>
    <w:rsid w:val="00EF4767"/>
    <w:rPr>
      <w:color w:val="605E5C"/>
      <w:shd w:val="clear" w:color="auto" w:fill="E1DFDD"/>
    </w:rPr>
  </w:style>
  <w:style w:type="paragraph" w:styleId="Header">
    <w:name w:val="header"/>
    <w:basedOn w:val="Normal"/>
    <w:link w:val="HeaderChar"/>
    <w:uiPriority w:val="99"/>
    <w:unhideWhenUsed/>
    <w:rsid w:val="00021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593"/>
  </w:style>
  <w:style w:type="paragraph" w:styleId="Footer">
    <w:name w:val="footer"/>
    <w:basedOn w:val="Normal"/>
    <w:link w:val="FooterChar"/>
    <w:uiPriority w:val="99"/>
    <w:unhideWhenUsed/>
    <w:rsid w:val="00021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614">
      <w:bodyDiv w:val="1"/>
      <w:marLeft w:val="0"/>
      <w:marRight w:val="0"/>
      <w:marTop w:val="0"/>
      <w:marBottom w:val="0"/>
      <w:divBdr>
        <w:top w:val="none" w:sz="0" w:space="0" w:color="auto"/>
        <w:left w:val="none" w:sz="0" w:space="0" w:color="auto"/>
        <w:bottom w:val="none" w:sz="0" w:space="0" w:color="auto"/>
        <w:right w:val="none" w:sz="0" w:space="0" w:color="auto"/>
      </w:divBdr>
    </w:div>
    <w:div w:id="437794947">
      <w:bodyDiv w:val="1"/>
      <w:marLeft w:val="0"/>
      <w:marRight w:val="0"/>
      <w:marTop w:val="0"/>
      <w:marBottom w:val="0"/>
      <w:divBdr>
        <w:top w:val="none" w:sz="0" w:space="0" w:color="auto"/>
        <w:left w:val="none" w:sz="0" w:space="0" w:color="auto"/>
        <w:bottom w:val="none" w:sz="0" w:space="0" w:color="auto"/>
        <w:right w:val="none" w:sz="0" w:space="0" w:color="auto"/>
      </w:divBdr>
    </w:div>
    <w:div w:id="1787502201">
      <w:bodyDiv w:val="1"/>
      <w:marLeft w:val="0"/>
      <w:marRight w:val="0"/>
      <w:marTop w:val="0"/>
      <w:marBottom w:val="0"/>
      <w:divBdr>
        <w:top w:val="none" w:sz="0" w:space="0" w:color="auto"/>
        <w:left w:val="none" w:sz="0" w:space="0" w:color="auto"/>
        <w:bottom w:val="none" w:sz="0" w:space="0" w:color="auto"/>
        <w:right w:val="none" w:sz="0" w:space="0" w:color="auto"/>
      </w:divBdr>
    </w:div>
    <w:div w:id="1914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fron@jhmi.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opkinscfar.org/resources/acknowledge-cfar" TargetMode="External"/><Relationship Id="rId4" Type="http://schemas.openxmlformats.org/officeDocument/2006/relationships/settings" Target="settings.xml"/><Relationship Id="rId9" Type="http://schemas.openxmlformats.org/officeDocument/2006/relationships/hyperlink" Target="chrome-extension://efaidnbmnnnibpcajpcglclefindmkaj/https:/grants.nih.gov/sites/default/files/exempt-human-subjects-infograph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8F7E-29F6-4F58-A5F8-04C11C58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928</Words>
  <Characters>4863</Characters>
  <Application>Microsoft Office Word</Application>
  <DocSecurity>0</DocSecurity>
  <Lines>93</Lines>
  <Paragraphs>60</Paragraphs>
  <ScaleCrop>false</ScaleCrop>
  <Company>Johns Hopkins</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Efron</dc:creator>
  <cp:keywords/>
  <dc:description/>
  <cp:lastModifiedBy>Anne Efron</cp:lastModifiedBy>
  <cp:revision>50</cp:revision>
  <dcterms:created xsi:type="dcterms:W3CDTF">2025-10-15T12:20:00Z</dcterms:created>
  <dcterms:modified xsi:type="dcterms:W3CDTF">2025-10-15T16:47:00Z</dcterms:modified>
</cp:coreProperties>
</file>